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54D" w:rsidRPr="007A054D" w:rsidRDefault="007A054D" w:rsidP="007A0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53836" w:rsidRPr="00353836" w:rsidRDefault="00353836" w:rsidP="00353836">
      <w:pPr>
        <w:spacing w:after="0" w:line="240" w:lineRule="auto"/>
        <w:jc w:val="center"/>
        <w:rPr>
          <w:rFonts w:ascii="Helvetica" w:eastAsia="Times New Roman" w:hAnsi="Helvetica" w:cs="Helvetica"/>
          <w:b/>
          <w:color w:val="1D1D1D"/>
          <w:sz w:val="21"/>
          <w:szCs w:val="21"/>
        </w:rPr>
      </w:pPr>
      <w:r w:rsidRPr="00353836">
        <w:rPr>
          <w:rFonts w:ascii="Helvetica" w:eastAsia="Times New Roman" w:hAnsi="Helvetica" w:cs="Helvetica"/>
          <w:b/>
          <w:color w:val="1D1D1D"/>
          <w:sz w:val="21"/>
          <w:szCs w:val="21"/>
        </w:rPr>
        <w:t>Walmart Inc. (WMT) Company Analysis</w:t>
      </w:r>
    </w:p>
    <w:p w:rsidR="007A054D" w:rsidRPr="0044711F" w:rsidRDefault="0044711F" w:rsidP="0044711F">
      <w:pPr>
        <w:pStyle w:val="ListParagraph"/>
        <w:numPr>
          <w:ilvl w:val="0"/>
          <w:numId w:val="1"/>
        </w:numPr>
        <w:spacing w:after="0" w:line="240" w:lineRule="auto"/>
        <w:rPr>
          <w:rFonts w:ascii="Helvetica" w:eastAsia="Times New Roman" w:hAnsi="Helvetica" w:cs="Helvetica"/>
          <w:color w:val="1D1D1D"/>
          <w:sz w:val="21"/>
          <w:szCs w:val="21"/>
        </w:rPr>
      </w:pPr>
      <w:r>
        <w:rPr>
          <w:rFonts w:ascii="Helvetica" w:eastAsia="Times New Roman" w:hAnsi="Helvetica" w:cs="Helvetica"/>
          <w:color w:val="1D1D1D"/>
          <w:sz w:val="21"/>
          <w:szCs w:val="21"/>
        </w:rPr>
        <w:t>I picked Walmart Inc. (WMT).</w:t>
      </w:r>
    </w:p>
    <w:p w:rsidR="007A054D" w:rsidRPr="0044711F" w:rsidRDefault="007A054D" w:rsidP="0044711F">
      <w:pPr>
        <w:pStyle w:val="ListParagraph"/>
        <w:numPr>
          <w:ilvl w:val="0"/>
          <w:numId w:val="1"/>
        </w:numPr>
        <w:spacing w:after="0" w:line="240" w:lineRule="auto"/>
        <w:rPr>
          <w:rFonts w:ascii="Helvetica" w:eastAsia="Times New Roman" w:hAnsi="Helvetica" w:cs="Helvetica"/>
          <w:color w:val="1D1D1D"/>
          <w:sz w:val="21"/>
          <w:szCs w:val="21"/>
        </w:rPr>
      </w:pPr>
      <w:r w:rsidRPr="0044711F">
        <w:rPr>
          <w:rFonts w:ascii="Helvetica" w:eastAsia="Times New Roman" w:hAnsi="Helvetica" w:cs="Helvetica"/>
          <w:color w:val="1D1D1D"/>
          <w:sz w:val="21"/>
          <w:szCs w:val="21"/>
        </w:rPr>
        <w:t xml:space="preserve">Describe the company you will chose and their overall performance. </w:t>
      </w:r>
    </w:p>
    <w:p w:rsidR="0044711F" w:rsidRDefault="0044711F" w:rsidP="0044711F">
      <w:pPr>
        <w:pStyle w:val="ListParagraph"/>
        <w:spacing w:after="0" w:line="240" w:lineRule="auto"/>
        <w:ind w:left="360"/>
        <w:rPr>
          <w:rFonts w:ascii="Helvetica" w:eastAsia="Times New Roman" w:hAnsi="Helvetica" w:cs="Helvetica"/>
          <w:color w:val="1D1D1D"/>
          <w:sz w:val="21"/>
          <w:szCs w:val="21"/>
        </w:rPr>
      </w:pPr>
    </w:p>
    <w:p w:rsidR="0044711F" w:rsidRDefault="0044711F" w:rsidP="0044711F">
      <w:pPr>
        <w:pStyle w:val="BalloonText"/>
        <w:ind w:left="360"/>
        <w:rPr>
          <w:rFonts w:ascii="Helvetica" w:hAnsi="Helvetica" w:cs="Helvetica"/>
          <w:color w:val="1D1D1D"/>
          <w:sz w:val="21"/>
          <w:szCs w:val="21"/>
        </w:rPr>
      </w:pPr>
      <w:r>
        <w:rPr>
          <w:rFonts w:ascii="Helvetica" w:hAnsi="Helvetica" w:cs="Helvetica"/>
          <w:color w:val="1D1D1D"/>
          <w:sz w:val="21"/>
          <w:szCs w:val="21"/>
        </w:rPr>
        <w:t>The company’s share</w:t>
      </w:r>
      <w:r w:rsidRPr="0044711F">
        <w:rPr>
          <w:rFonts w:ascii="Helvetica" w:hAnsi="Helvetica" w:cs="Helvetica"/>
          <w:color w:val="1D1D1D"/>
          <w:sz w:val="21"/>
          <w:szCs w:val="21"/>
        </w:rPr>
        <w:t xml:space="preserve"> price has been ris</w:t>
      </w:r>
      <w:r>
        <w:rPr>
          <w:rFonts w:ascii="Helvetica" w:hAnsi="Helvetica" w:cs="Helvetica"/>
          <w:color w:val="1D1D1D"/>
          <w:sz w:val="21"/>
          <w:szCs w:val="21"/>
        </w:rPr>
        <w:t>ing gradually over the past four</w:t>
      </w:r>
      <w:r w:rsidRPr="0044711F">
        <w:rPr>
          <w:rFonts w:ascii="Helvetica" w:hAnsi="Helvetica" w:cs="Helvetica"/>
          <w:color w:val="1D1D1D"/>
          <w:sz w:val="21"/>
          <w:szCs w:val="21"/>
        </w:rPr>
        <w:t xml:space="preserve"> years. </w:t>
      </w:r>
      <w:r>
        <w:rPr>
          <w:rFonts w:ascii="Helvetica" w:hAnsi="Helvetica" w:cs="Helvetica"/>
          <w:color w:val="1D1D1D"/>
          <w:sz w:val="21"/>
          <w:szCs w:val="21"/>
        </w:rPr>
        <w:t>See chart 1.</w:t>
      </w:r>
    </w:p>
    <w:p w:rsidR="0044711F" w:rsidRDefault="0044711F" w:rsidP="0044711F">
      <w:pPr>
        <w:pStyle w:val="Caption"/>
        <w:keepNext/>
      </w:pPr>
      <w:r>
        <w:t xml:space="preserve">Chart </w:t>
      </w:r>
      <w:r w:rsidR="006C2D75">
        <w:fldChar w:fldCharType="begin"/>
      </w:r>
      <w:r w:rsidR="006C2D75">
        <w:instrText xml:space="preserve"> SEQ Chart \* ARABIC </w:instrText>
      </w:r>
      <w:r w:rsidR="006C2D75">
        <w:fldChar w:fldCharType="separate"/>
      </w:r>
      <w:r>
        <w:rPr>
          <w:noProof/>
        </w:rPr>
        <w:t>1</w:t>
      </w:r>
      <w:r w:rsidR="006C2D75">
        <w:rPr>
          <w:noProof/>
        </w:rPr>
        <w:fldChar w:fldCharType="end"/>
      </w:r>
    </w:p>
    <w:p w:rsidR="0044711F" w:rsidRDefault="0044711F" w:rsidP="0044711F">
      <w:pPr>
        <w:pStyle w:val="BalloonText"/>
        <w:rPr>
          <w:rFonts w:ascii="Helvetica" w:hAnsi="Helvetica" w:cs="Helvetica"/>
          <w:color w:val="1D1D1D"/>
          <w:sz w:val="21"/>
          <w:szCs w:val="21"/>
        </w:rPr>
      </w:pPr>
      <w:r>
        <w:rPr>
          <w:noProof/>
        </w:rPr>
        <w:drawing>
          <wp:inline distT="0" distB="0" distL="0" distR="0" wp14:anchorId="7E9819AD" wp14:editId="0D873A96">
            <wp:extent cx="5943600" cy="3232785"/>
            <wp:effectExtent l="0" t="0" r="0" b="571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4711F" w:rsidRDefault="0044711F" w:rsidP="0044711F">
      <w:pPr>
        <w:pStyle w:val="BalloonText"/>
        <w:rPr>
          <w:rFonts w:ascii="Helvetica" w:hAnsi="Helvetica" w:cs="Helvetica"/>
          <w:color w:val="1D1D1D"/>
          <w:sz w:val="21"/>
          <w:szCs w:val="21"/>
        </w:rPr>
      </w:pPr>
    </w:p>
    <w:p w:rsidR="0044711F" w:rsidRDefault="0044711F" w:rsidP="0044711F">
      <w:pPr>
        <w:pStyle w:val="BalloonText"/>
        <w:rPr>
          <w:rFonts w:ascii="Helvetica" w:hAnsi="Helvetica" w:cs="Helvetica"/>
          <w:color w:val="1D1D1D"/>
          <w:sz w:val="21"/>
          <w:szCs w:val="21"/>
        </w:rPr>
      </w:pPr>
      <w:r>
        <w:rPr>
          <w:rFonts w:ascii="Helvetica" w:hAnsi="Helvetica" w:cs="Helvetica"/>
          <w:color w:val="1D1D1D"/>
          <w:sz w:val="21"/>
          <w:szCs w:val="21"/>
        </w:rPr>
        <w:t>Its profitability has however remained almost constant. See chart 2.</w:t>
      </w:r>
    </w:p>
    <w:p w:rsidR="0044711F" w:rsidRDefault="0044711F" w:rsidP="0044711F">
      <w:pPr>
        <w:pStyle w:val="Caption"/>
        <w:keepNext/>
      </w:pPr>
      <w:r>
        <w:lastRenderedPageBreak/>
        <w:t xml:space="preserve">Chart </w:t>
      </w:r>
      <w:r w:rsidR="006C2D75">
        <w:fldChar w:fldCharType="begin"/>
      </w:r>
      <w:r w:rsidR="006C2D75">
        <w:instrText xml:space="preserve"> SEQ Chart \* ARABIC </w:instrText>
      </w:r>
      <w:r w:rsidR="006C2D75">
        <w:fldChar w:fldCharType="separate"/>
      </w:r>
      <w:r>
        <w:rPr>
          <w:noProof/>
        </w:rPr>
        <w:t>2</w:t>
      </w:r>
      <w:r w:rsidR="006C2D75">
        <w:rPr>
          <w:noProof/>
        </w:rPr>
        <w:fldChar w:fldCharType="end"/>
      </w:r>
    </w:p>
    <w:p w:rsidR="0044711F" w:rsidRPr="0044711F" w:rsidRDefault="0044711F" w:rsidP="0044711F">
      <w:pPr>
        <w:pStyle w:val="BalloonText"/>
        <w:rPr>
          <w:rFonts w:ascii="Helvetica" w:hAnsi="Helvetica" w:cs="Helvetica"/>
          <w:color w:val="1D1D1D"/>
          <w:sz w:val="21"/>
          <w:szCs w:val="21"/>
        </w:rPr>
      </w:pPr>
      <w:r>
        <w:rPr>
          <w:noProof/>
        </w:rPr>
        <w:drawing>
          <wp:inline distT="0" distB="0" distL="0" distR="0" wp14:anchorId="61E5F5D7" wp14:editId="7AF29546">
            <wp:extent cx="5943600" cy="333375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A054D" w:rsidRDefault="007A054D" w:rsidP="007A054D">
      <w:pPr>
        <w:spacing w:after="0" w:line="240" w:lineRule="auto"/>
        <w:rPr>
          <w:rFonts w:ascii="Helvetica" w:eastAsia="Times New Roman" w:hAnsi="Helvetica" w:cs="Helvetica"/>
          <w:color w:val="1D1D1D"/>
          <w:sz w:val="21"/>
          <w:szCs w:val="21"/>
        </w:rPr>
      </w:pPr>
    </w:p>
    <w:p w:rsidR="007A054D" w:rsidRPr="0044711F" w:rsidRDefault="0044711F" w:rsidP="0044711F">
      <w:pPr>
        <w:pStyle w:val="ListParagraph"/>
        <w:numPr>
          <w:ilvl w:val="0"/>
          <w:numId w:val="1"/>
        </w:numPr>
        <w:spacing w:after="0" w:line="240" w:lineRule="auto"/>
        <w:rPr>
          <w:rFonts w:ascii="Helvetica" w:eastAsia="Times New Roman" w:hAnsi="Helvetica" w:cs="Helvetica"/>
          <w:color w:val="1D1D1D"/>
          <w:sz w:val="21"/>
          <w:szCs w:val="21"/>
        </w:rPr>
      </w:pPr>
      <w:r w:rsidRPr="0044711F">
        <w:rPr>
          <w:rFonts w:ascii="Helvetica" w:eastAsia="Times New Roman" w:hAnsi="Helvetica" w:cs="Helvetica"/>
          <w:color w:val="1D1D1D"/>
          <w:sz w:val="21"/>
          <w:szCs w:val="21"/>
        </w:rPr>
        <w:t>Financial Ratios</w:t>
      </w:r>
    </w:p>
    <w:p w:rsidR="0044711F" w:rsidRDefault="0044711F" w:rsidP="0044711F">
      <w:pPr>
        <w:spacing w:after="0" w:line="240" w:lineRule="auto"/>
        <w:rPr>
          <w:rFonts w:ascii="Helvetica" w:eastAsia="Times New Roman" w:hAnsi="Helvetica" w:cs="Helvetica"/>
          <w:color w:val="1D1D1D"/>
          <w:sz w:val="21"/>
          <w:szCs w:val="21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2740"/>
        <w:gridCol w:w="1440"/>
        <w:gridCol w:w="1320"/>
        <w:gridCol w:w="1320"/>
        <w:gridCol w:w="1320"/>
        <w:gridCol w:w="967"/>
      </w:tblGrid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Profitability Ratios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Average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Gross Profit Margin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24.68%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24.94%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24.58%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24.29%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24.62%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Return on Assets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4.82%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6.86%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7.36%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8.04%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6.77%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Liquidity Ratios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Average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Current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0.88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Quick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0.24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Activity Ratios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Average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Inventory Turnover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8.60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8.26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8.06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8.11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8.26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Fixed Assets Turnover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3.42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3.41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3.43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3.43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Leverage Ratios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Average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Debt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18.01%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21.13%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22.06%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21.37%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20.64%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Debt to Equity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45.56%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52.17%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52.66%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50.61%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50.25%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Valuation Ratios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Average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Earnings per Share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 xml:space="preserve">$3.29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 xml:space="preserve">$4.40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 xml:space="preserve">$4.58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 xml:space="preserve">$5.01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$4.32 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Dividends Pay-Out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0.47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Share Price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 xml:space="preserve">$104.48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 xml:space="preserve">$66.50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 xml:space="preserve">$67.00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 xml:space="preserve">$84.98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$80.74 </w:t>
            </w:r>
          </w:p>
        </w:tc>
      </w:tr>
      <w:tr w:rsidR="00353836" w:rsidRPr="00353836" w:rsidTr="0035383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Price Earnings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31.76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15.11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14.63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16.96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19.62</w:t>
            </w:r>
          </w:p>
        </w:tc>
      </w:tr>
    </w:tbl>
    <w:p w:rsidR="0044711F" w:rsidRPr="0044711F" w:rsidRDefault="0044711F" w:rsidP="0044711F">
      <w:pPr>
        <w:spacing w:after="0" w:line="240" w:lineRule="auto"/>
        <w:rPr>
          <w:rFonts w:ascii="Helvetica" w:eastAsia="Times New Roman" w:hAnsi="Helvetica" w:cs="Helvetica"/>
          <w:color w:val="1D1D1D"/>
          <w:sz w:val="21"/>
          <w:szCs w:val="21"/>
        </w:rPr>
      </w:pPr>
    </w:p>
    <w:p w:rsidR="007A054D" w:rsidRDefault="007A054D" w:rsidP="007A054D">
      <w:pPr>
        <w:spacing w:after="0" w:line="240" w:lineRule="auto"/>
        <w:rPr>
          <w:rFonts w:ascii="Helvetica" w:eastAsia="Times New Roman" w:hAnsi="Helvetica" w:cs="Helvetica"/>
          <w:color w:val="1D1D1D"/>
          <w:sz w:val="21"/>
          <w:szCs w:val="21"/>
        </w:rPr>
      </w:pPr>
    </w:p>
    <w:p w:rsidR="007A054D" w:rsidRPr="00353836" w:rsidRDefault="007A054D" w:rsidP="00353836">
      <w:pPr>
        <w:pStyle w:val="ListParagraph"/>
        <w:numPr>
          <w:ilvl w:val="0"/>
          <w:numId w:val="1"/>
        </w:numPr>
        <w:spacing w:after="0" w:line="240" w:lineRule="auto"/>
        <w:rPr>
          <w:rFonts w:ascii="Helvetica" w:eastAsia="Times New Roman" w:hAnsi="Helvetica" w:cs="Helvetica"/>
          <w:b/>
          <w:bCs/>
          <w:color w:val="1D1D1D"/>
          <w:sz w:val="21"/>
          <w:szCs w:val="21"/>
        </w:rPr>
      </w:pPr>
      <w:r w:rsidRPr="00353836">
        <w:rPr>
          <w:rFonts w:ascii="Helvetica" w:eastAsia="Times New Roman" w:hAnsi="Helvetica" w:cs="Helvetica"/>
          <w:b/>
          <w:bCs/>
          <w:color w:val="1D1D1D"/>
          <w:sz w:val="21"/>
          <w:szCs w:val="21"/>
        </w:rPr>
        <w:t>DuPont System</w:t>
      </w:r>
    </w:p>
    <w:tbl>
      <w:tblPr>
        <w:tblW w:w="8657" w:type="dxa"/>
        <w:tblLook w:val="04A0" w:firstRow="1" w:lastRow="0" w:firstColumn="1" w:lastColumn="0" w:noHBand="0" w:noVBand="1"/>
      </w:tblPr>
      <w:tblGrid>
        <w:gridCol w:w="2917"/>
        <w:gridCol w:w="1151"/>
        <w:gridCol w:w="1151"/>
        <w:gridCol w:w="1151"/>
        <w:gridCol w:w="1151"/>
        <w:gridCol w:w="1136"/>
      </w:tblGrid>
      <w:tr w:rsidR="00353836" w:rsidRPr="00353836" w:rsidTr="00353836">
        <w:trPr>
          <w:trHeight w:val="280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DuPont Analysis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836" w:rsidRPr="00353836" w:rsidTr="00353836">
        <w:trPr>
          <w:trHeight w:val="28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31-Jan-15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Average</w:t>
            </w:r>
          </w:p>
        </w:tc>
      </w:tr>
      <w:tr w:rsidR="00353836" w:rsidRPr="00353836" w:rsidTr="00353836">
        <w:trPr>
          <w:trHeight w:val="280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Net Profit Margin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1.99%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2.83%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3.07%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3.39%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2.82%</w:t>
            </w:r>
          </w:p>
        </w:tc>
      </w:tr>
      <w:tr w:rsidR="00353836" w:rsidRPr="00353836" w:rsidTr="00353836">
        <w:trPr>
          <w:trHeight w:val="280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Total Assets Turnover Ratio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2.46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2.42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2.37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2.36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2.40</w:t>
            </w:r>
          </w:p>
        </w:tc>
      </w:tr>
      <w:tr w:rsidR="00353836" w:rsidRPr="00353836" w:rsidTr="00353836">
        <w:trPr>
          <w:trHeight w:val="280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Financial Leverage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2.53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2.47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2.39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53836">
              <w:rPr>
                <w:rFonts w:ascii="Calibri" w:eastAsia="Times New Roman" w:hAnsi="Calibri" w:cs="Calibri"/>
                <w:color w:val="000000"/>
              </w:rPr>
              <w:t>2.37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2.44</w:t>
            </w:r>
          </w:p>
        </w:tc>
      </w:tr>
      <w:tr w:rsidR="00353836" w:rsidRPr="00353836" w:rsidTr="00353836">
        <w:trPr>
          <w:trHeight w:val="280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Return on Equity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12.37%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16.91%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17.40%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18.98%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836" w:rsidRPr="00353836" w:rsidRDefault="00353836" w:rsidP="003538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3836">
              <w:rPr>
                <w:rFonts w:ascii="Calibri" w:eastAsia="Times New Roman" w:hAnsi="Calibri" w:cs="Calibri"/>
                <w:b/>
                <w:bCs/>
                <w:color w:val="000000"/>
              </w:rPr>
              <w:t>16.42%</w:t>
            </w:r>
          </w:p>
        </w:tc>
      </w:tr>
    </w:tbl>
    <w:p w:rsidR="00353836" w:rsidRPr="00353836" w:rsidRDefault="00353836" w:rsidP="00353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50AE" w:rsidRDefault="00353836">
      <w:r>
        <w:tab/>
        <w:t>From the DuPont Analysis, the return on equity has been declining for the past four years. This is because of an increase in the financial leverage ratio and a decline in the net profit margin. Currently, I would not buy this stock because of the declining return on equity.</w:t>
      </w:r>
    </w:p>
    <w:sectPr w:rsidR="001450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D75" w:rsidRDefault="006C2D75" w:rsidP="00281D1E">
      <w:pPr>
        <w:spacing w:after="0" w:line="240" w:lineRule="auto"/>
      </w:pPr>
      <w:r>
        <w:separator/>
      </w:r>
    </w:p>
  </w:endnote>
  <w:endnote w:type="continuationSeparator" w:id="0">
    <w:p w:rsidR="006C2D75" w:rsidRDefault="006C2D75" w:rsidP="00281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D1E" w:rsidRDefault="00281D1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D1E" w:rsidRDefault="00281D1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D1E" w:rsidRDefault="00281D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D75" w:rsidRDefault="006C2D75" w:rsidP="00281D1E">
      <w:pPr>
        <w:spacing w:after="0" w:line="240" w:lineRule="auto"/>
      </w:pPr>
      <w:r>
        <w:separator/>
      </w:r>
    </w:p>
  </w:footnote>
  <w:footnote w:type="continuationSeparator" w:id="0">
    <w:p w:rsidR="006C2D75" w:rsidRDefault="006C2D75" w:rsidP="00281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D1E" w:rsidRDefault="00281D1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D1E" w:rsidRDefault="00281D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D1E" w:rsidRDefault="00281D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493B22"/>
    <w:multiLevelType w:val="hybridMultilevel"/>
    <w:tmpl w:val="49C6C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54D"/>
    <w:rsid w:val="001450AE"/>
    <w:rsid w:val="00281D1E"/>
    <w:rsid w:val="0029745B"/>
    <w:rsid w:val="00353836"/>
    <w:rsid w:val="0044711F"/>
    <w:rsid w:val="006203D0"/>
    <w:rsid w:val="006C2D75"/>
    <w:rsid w:val="007A054D"/>
    <w:rsid w:val="00B1716F"/>
    <w:rsid w:val="00BC1D12"/>
    <w:rsid w:val="00F4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05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71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711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11F"/>
    <w:rPr>
      <w:rFonts w:ascii="Tahoma" w:eastAsia="Times New Roman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4711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1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D1E"/>
  </w:style>
  <w:style w:type="paragraph" w:styleId="Footer">
    <w:name w:val="footer"/>
    <w:basedOn w:val="Normal"/>
    <w:link w:val="FooterChar"/>
    <w:uiPriority w:val="99"/>
    <w:unhideWhenUsed/>
    <w:rsid w:val="00281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1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_1\Documents\Walmart%20Company%20Ratio%20Analysis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_1\Documents\Walmart%20Company%20Ratio%20Analysis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Walmart Stock Price Change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WalmartRatios!$A$25</c:f>
              <c:strCache>
                <c:ptCount val="1"/>
                <c:pt idx="0">
                  <c:v>Share Price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WalmartRatios!$B$22:$E$22</c:f>
              <c:numCache>
                <c:formatCode>d\-mmm\-yy</c:formatCode>
                <c:ptCount val="4"/>
                <c:pt idx="0">
                  <c:v>43131</c:v>
                </c:pt>
                <c:pt idx="1">
                  <c:v>42766</c:v>
                </c:pt>
                <c:pt idx="2">
                  <c:v>42400</c:v>
                </c:pt>
                <c:pt idx="3">
                  <c:v>42035</c:v>
                </c:pt>
              </c:numCache>
            </c:numRef>
          </c:cat>
          <c:val>
            <c:numRef>
              <c:f>WalmartRatios!$B$25:$E$25</c:f>
              <c:numCache>
                <c:formatCode>"$"#,##0.00_);[Red]\("$"#,##0.00\)</c:formatCode>
                <c:ptCount val="4"/>
                <c:pt idx="0">
                  <c:v>104.48</c:v>
                </c:pt>
                <c:pt idx="1">
                  <c:v>66.5</c:v>
                </c:pt>
                <c:pt idx="2">
                  <c:v>67</c:v>
                </c:pt>
                <c:pt idx="3">
                  <c:v>84.98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78E-4AD7-9F80-EE666F0F27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-1788951024"/>
        <c:axId val="-1788964624"/>
      </c:lineChart>
      <c:dateAx>
        <c:axId val="-1788951024"/>
        <c:scaling>
          <c:orientation val="minMax"/>
        </c:scaling>
        <c:delete val="0"/>
        <c:axPos val="b"/>
        <c:numFmt formatCode="d\-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8964624"/>
        <c:crosses val="autoZero"/>
        <c:auto val="1"/>
        <c:lblOffset val="100"/>
        <c:baseTimeUnit val="years"/>
      </c:dateAx>
      <c:valAx>
        <c:axId val="-1788964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</a:t>
                </a:r>
                <a:r>
                  <a:rPr lang="en-US" baseline="0"/>
                  <a:t> in US($)</a:t>
                </a:r>
                <a:endParaRPr lang="en-US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&quot;$&quot;#,##0.00_);[Red]\(&quot;$&quot;#,##0.00\)" sourceLinked="1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89510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Profitability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WalmartRatios!$A$3</c:f>
              <c:strCache>
                <c:ptCount val="1"/>
                <c:pt idx="0">
                  <c:v>Gross Profit Margin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WalmartRatios!$B$2:$E$2</c:f>
              <c:numCache>
                <c:formatCode>d\-mmm\-yy</c:formatCode>
                <c:ptCount val="4"/>
                <c:pt idx="0">
                  <c:v>43131</c:v>
                </c:pt>
                <c:pt idx="1">
                  <c:v>42766</c:v>
                </c:pt>
                <c:pt idx="2">
                  <c:v>42400</c:v>
                </c:pt>
                <c:pt idx="3">
                  <c:v>42035</c:v>
                </c:pt>
              </c:numCache>
            </c:numRef>
          </c:cat>
          <c:val>
            <c:numRef>
              <c:f>WalmartRatios!$B$3:$E$3</c:f>
              <c:numCache>
                <c:formatCode>0.00%</c:formatCode>
                <c:ptCount val="4"/>
                <c:pt idx="0">
                  <c:v>0.24682256167790528</c:v>
                </c:pt>
                <c:pt idx="1">
                  <c:v>0.24944267499381903</c:v>
                </c:pt>
                <c:pt idx="2">
                  <c:v>0.24577216713259536</c:v>
                </c:pt>
                <c:pt idx="3">
                  <c:v>0.24291985757803866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FE7-48FE-B56F-D974557083C5}"/>
            </c:ext>
          </c:extLst>
        </c:ser>
        <c:ser>
          <c:idx val="2"/>
          <c:order val="1"/>
          <c:tx>
            <c:strRef>
              <c:f>WalmartRatios!$A$4</c:f>
              <c:strCache>
                <c:ptCount val="1"/>
                <c:pt idx="0">
                  <c:v>Return on Assets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WalmartRatios!$B$2:$E$2</c:f>
              <c:numCache>
                <c:formatCode>d\-mmm\-yy</c:formatCode>
                <c:ptCount val="4"/>
                <c:pt idx="0">
                  <c:v>43131</c:v>
                </c:pt>
                <c:pt idx="1">
                  <c:v>42766</c:v>
                </c:pt>
                <c:pt idx="2">
                  <c:v>42400</c:v>
                </c:pt>
                <c:pt idx="3">
                  <c:v>42035</c:v>
                </c:pt>
              </c:numCache>
            </c:numRef>
          </c:cat>
          <c:val>
            <c:numRef>
              <c:f>WalmartRatios!$B$4:$E$4</c:f>
              <c:numCache>
                <c:formatCode>0.00%</c:formatCode>
                <c:ptCount val="4"/>
                <c:pt idx="0">
                  <c:v>4.8219751420385093E-2</c:v>
                </c:pt>
                <c:pt idx="1">
                  <c:v>6.8618131522695844E-2</c:v>
                </c:pt>
                <c:pt idx="2">
                  <c:v>7.36242427886422E-2</c:v>
                </c:pt>
                <c:pt idx="3">
                  <c:v>8.041181384834635E-2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8FE7-48FE-B56F-D974557083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788964080"/>
        <c:axId val="-1788950480"/>
      </c:lineChart>
      <c:dateAx>
        <c:axId val="-1788964080"/>
        <c:scaling>
          <c:orientation val="minMax"/>
        </c:scaling>
        <c:delete val="0"/>
        <c:axPos val="b"/>
        <c:numFmt formatCode="d\-mmm\-yy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8950480"/>
        <c:crosses val="autoZero"/>
        <c:auto val="1"/>
        <c:lblOffset val="100"/>
        <c:baseTimeUnit val="years"/>
      </c:dateAx>
      <c:valAx>
        <c:axId val="-1788950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89640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A58EA0B3-6F64-4BE3-9E2B-2BA8D0186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2019-02-13T18:12:00Z</dcterms:created>
  <dcterms:modified xsi:type="dcterms:W3CDTF">2019-02-13T18:12:00Z</dcterms:modified>
</cp:coreProperties>
</file>